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320" w:firstLineChars="1900"/>
        <w:rPr>
          <w:rFonts w:ascii="黑体" w:hAnsi="黑体" w:eastAsia="黑体"/>
          <w:sz w:val="28"/>
          <w:szCs w:val="28"/>
        </w:rPr>
      </w:pPr>
      <w:r>
        <w:rPr>
          <w:rFonts w:hint="eastAsia" w:ascii="黑体" w:hAnsi="黑体" w:eastAsia="黑体"/>
          <w:sz w:val="28"/>
          <w:szCs w:val="28"/>
        </w:rPr>
        <w:t>公开方式：主动公开</w:t>
      </w:r>
    </w:p>
    <w:p>
      <w:pPr>
        <w:jc w:val="center"/>
        <w:rPr>
          <w:rFonts w:hint="eastAsia" w:ascii="仿宋_GB2312" w:eastAsia="仿宋_GB2312"/>
          <w:sz w:val="32"/>
        </w:rPr>
      </w:pPr>
      <w:r>
        <w:rPr>
          <w:rFonts w:hint="eastAsia" w:ascii="仿宋_GB2312" w:eastAsia="仿宋_GB2312"/>
          <w:sz w:val="32"/>
        </w:rPr>
        <w:t xml:space="preserve">                           办理结果：A类</w:t>
      </w:r>
    </w:p>
    <w:p>
      <w:pPr>
        <w:jc w:val="distribute"/>
        <w:rPr>
          <w:rFonts w:hint="eastAsia" w:eastAsia="方正小标宋简体"/>
          <w:color w:val="FF0000"/>
          <w:spacing w:val="40"/>
          <w:w w:val="80"/>
          <w:kern w:val="40"/>
          <w:sz w:val="110"/>
        </w:rPr>
      </w:pPr>
    </w:p>
    <w:p>
      <w:pPr>
        <w:jc w:val="distribute"/>
        <w:rPr>
          <w:rFonts w:eastAsia="仿宋_GB2312"/>
          <w:b/>
          <w:spacing w:val="50"/>
          <w:sz w:val="32"/>
        </w:rPr>
      </w:pPr>
      <w:bookmarkStart w:id="0" w:name="_GoBack"/>
      <w:bookmarkEnd w:id="0"/>
      <w:r>
        <w:rPr>
          <w:rFonts w:hint="eastAsia" w:eastAsia="方正小标宋简体"/>
          <w:color w:val="FF0000"/>
          <w:spacing w:val="40"/>
          <w:w w:val="80"/>
          <w:kern w:val="40"/>
          <w:sz w:val="110"/>
        </w:rPr>
        <w:t xml:space="preserve"> </w:t>
      </w:r>
    </w:p>
    <w:p>
      <w:pPr>
        <w:jc w:val="center"/>
        <w:rPr>
          <w:b/>
          <w:spacing w:val="50"/>
        </w:rPr>
      </w:pPr>
    </w:p>
    <w:p>
      <w:pPr>
        <w:widowControl/>
        <w:spacing w:line="320" w:lineRule="exact"/>
        <w:jc w:val="center"/>
        <w:rPr>
          <w:rFonts w:ascii="仿宋_GB2312" w:eastAsia="仿宋_GB2312"/>
          <w:sz w:val="32"/>
          <w:szCs w:val="32"/>
        </w:rPr>
      </w:pPr>
    </w:p>
    <w:p>
      <w:pPr>
        <w:widowControl/>
        <w:spacing w:line="320" w:lineRule="exact"/>
        <w:jc w:val="center"/>
        <w:rPr>
          <w:rFonts w:hint="eastAsia" w:ascii="方正小标宋简体" w:hAnsi="宋体" w:eastAsia="方正小标宋简体" w:cs="宋体"/>
          <w:kern w:val="0"/>
          <w:sz w:val="44"/>
          <w:szCs w:val="44"/>
        </w:rPr>
      </w:pPr>
      <w:r>
        <w:rPr>
          <w:rFonts w:hint="eastAsia" w:ascii="仿宋_GB2312" w:eastAsia="仿宋_GB2312"/>
          <w:sz w:val="32"/>
          <w:szCs w:val="32"/>
        </w:rPr>
        <w:t>贵教复〔</w:t>
      </w:r>
      <w:r>
        <w:rPr>
          <w:rFonts w:ascii="仿宋_GB2312" w:eastAsia="仿宋_GB2312"/>
          <w:sz w:val="32"/>
          <w:szCs w:val="32"/>
        </w:rPr>
        <w:t>20</w:t>
      </w:r>
      <w:r>
        <w:rPr>
          <w:rFonts w:hint="eastAsia" w:ascii="仿宋_GB2312" w:eastAsia="仿宋_GB2312"/>
          <w:sz w:val="32"/>
          <w:szCs w:val="32"/>
        </w:rPr>
        <w:t>23〕69号                    签发人:</w:t>
      </w:r>
      <w:r>
        <w:rPr>
          <w:rFonts w:hint="eastAsia" w:ascii="楷体" w:hAnsi="楷体" w:eastAsia="楷体" w:cs="楷体"/>
          <w:sz w:val="32"/>
          <w:szCs w:val="32"/>
        </w:rPr>
        <w:t>余铖武</w:t>
      </w:r>
    </w:p>
    <w:p>
      <w:pPr>
        <w:spacing w:line="580" w:lineRule="exact"/>
        <w:ind w:right="482"/>
        <w:rPr>
          <w:rFonts w:ascii="方正小标宋简体" w:eastAsia="方正小标宋简体"/>
          <w:sz w:val="44"/>
          <w:szCs w:val="44"/>
        </w:rPr>
      </w:pPr>
    </w:p>
    <w:p>
      <w:pPr>
        <w:spacing w:line="580" w:lineRule="exact"/>
        <w:ind w:right="482"/>
        <w:jc w:val="center"/>
        <w:rPr>
          <w:rFonts w:ascii="方正小标宋简体" w:eastAsia="方正小标宋简体"/>
          <w:sz w:val="44"/>
          <w:szCs w:val="44"/>
        </w:rPr>
      </w:pPr>
    </w:p>
    <w:p>
      <w:pPr>
        <w:spacing w:line="700" w:lineRule="exact"/>
        <w:ind w:right="482"/>
        <w:jc w:val="center"/>
        <w:rPr>
          <w:rFonts w:ascii="方正小标宋简体" w:hAnsi="宋体" w:eastAsia="方正小标宋简体"/>
          <w:sz w:val="44"/>
          <w:szCs w:val="44"/>
        </w:rPr>
      </w:pPr>
      <w:r>
        <w:rPr>
          <w:rFonts w:hint="eastAsia" w:ascii="方正小标宋简体" w:eastAsia="方正小标宋简体"/>
          <w:sz w:val="44"/>
          <w:szCs w:val="44"/>
        </w:rPr>
        <w:t>贵港市教育局</w:t>
      </w:r>
      <w:r>
        <w:rPr>
          <w:rFonts w:hint="eastAsia" w:ascii="方正小标宋简体" w:hAnsi="宋体" w:eastAsia="方正小标宋简体"/>
          <w:sz w:val="44"/>
          <w:szCs w:val="44"/>
        </w:rPr>
        <w:t>对市政协六届三次会议</w:t>
      </w:r>
    </w:p>
    <w:p>
      <w:pPr>
        <w:spacing w:line="700" w:lineRule="exact"/>
        <w:ind w:right="482"/>
        <w:jc w:val="center"/>
        <w:rPr>
          <w:rFonts w:ascii="方正小标宋简体" w:hAnsi="宋体" w:eastAsia="方正小标宋简体"/>
          <w:sz w:val="44"/>
          <w:szCs w:val="44"/>
        </w:rPr>
      </w:pPr>
      <w:r>
        <w:rPr>
          <w:rFonts w:hint="eastAsia" w:ascii="方正小标宋简体" w:hAnsi="宋体" w:eastAsia="方正小标宋简体"/>
          <w:sz w:val="44"/>
          <w:szCs w:val="44"/>
        </w:rPr>
        <w:t>第2023100号提案的答复</w:t>
      </w:r>
    </w:p>
    <w:p>
      <w:pPr>
        <w:pStyle w:val="3"/>
      </w:pPr>
      <w:r>
        <w:rPr>
          <w:rFonts w:hint="eastAsia"/>
        </w:rPr>
        <w:t xml:space="preserve"> </w:t>
      </w:r>
    </w:p>
    <w:p>
      <w:pPr>
        <w:spacing w:line="560" w:lineRule="exact"/>
        <w:ind w:right="480"/>
        <w:rPr>
          <w:rFonts w:ascii="仿宋_GB2312" w:eastAsia="仿宋_GB2312"/>
          <w:sz w:val="32"/>
          <w:szCs w:val="32"/>
        </w:rPr>
      </w:pPr>
      <w:r>
        <w:rPr>
          <w:rFonts w:hint="eastAsia" w:ascii="仿宋_GB2312" w:eastAsia="仿宋_GB2312"/>
          <w:sz w:val="32"/>
          <w:szCs w:val="32"/>
        </w:rPr>
        <w:t>赖克彬委员：</w:t>
      </w:r>
    </w:p>
    <w:p>
      <w:pPr>
        <w:spacing w:line="560" w:lineRule="exact"/>
        <w:ind w:right="31" w:rightChars="15" w:firstLine="640" w:firstLineChars="200"/>
        <w:rPr>
          <w:rFonts w:ascii="仿宋_GB2312" w:eastAsia="仿宋_GB2312"/>
          <w:sz w:val="32"/>
        </w:rPr>
      </w:pPr>
      <w:r>
        <w:rPr>
          <w:rFonts w:hint="eastAsia" w:ascii="仿宋_GB2312" w:eastAsia="仿宋_GB2312"/>
          <w:sz w:val="32"/>
          <w:szCs w:val="32"/>
        </w:rPr>
        <w:t>您提出的“</w:t>
      </w:r>
      <w:r>
        <w:rPr>
          <w:rFonts w:ascii="仿宋_GB2312" w:eastAsia="仿宋_GB2312"/>
          <w:sz w:val="32"/>
          <w:szCs w:val="32"/>
        </w:rPr>
        <w:t>关于加快推动中小学生到研学基地体验劳动课程的建议</w:t>
      </w:r>
      <w:r>
        <w:rPr>
          <w:rFonts w:hint="eastAsia" w:ascii="仿宋_GB2312" w:eastAsia="仿宋_GB2312"/>
          <w:sz w:val="32"/>
          <w:szCs w:val="32"/>
        </w:rPr>
        <w:t>”的提案，</w:t>
      </w:r>
      <w:r>
        <w:rPr>
          <w:rFonts w:hint="eastAsia" w:ascii="仿宋_GB2312" w:eastAsia="仿宋_GB2312"/>
          <w:sz w:val="32"/>
        </w:rPr>
        <w:t>交由我单位办理，经研究，现答复如下：</w:t>
      </w:r>
    </w:p>
    <w:p>
      <w:pPr>
        <w:spacing w:line="560" w:lineRule="exact"/>
        <w:ind w:right="31" w:rightChars="15" w:firstLine="640" w:firstLineChars="200"/>
        <w:rPr>
          <w:rFonts w:ascii="仿宋_GB2312" w:eastAsia="仿宋_GB2312"/>
          <w:sz w:val="32"/>
          <w:szCs w:val="32"/>
        </w:rPr>
      </w:pPr>
      <w:r>
        <w:rPr>
          <w:rFonts w:ascii="仿宋_GB2312" w:eastAsia="仿宋_GB2312"/>
          <w:sz w:val="32"/>
          <w:szCs w:val="32"/>
        </w:rPr>
        <w:t>近年来，我市教育系统</w:t>
      </w:r>
      <w:r>
        <w:rPr>
          <w:rFonts w:hint="eastAsia" w:ascii="仿宋_GB2312" w:eastAsia="仿宋_GB2312"/>
          <w:sz w:val="32"/>
          <w:szCs w:val="32"/>
        </w:rPr>
        <w:t>坚持以习近平新时代中国特色社会主义思想为指导，高度</w:t>
      </w:r>
      <w:r>
        <w:rPr>
          <w:rFonts w:ascii="仿宋_GB2312" w:eastAsia="仿宋_GB2312"/>
          <w:sz w:val="32"/>
          <w:szCs w:val="32"/>
        </w:rPr>
        <w:t>重视发挥劳动教育树德、增智、强体、育美的综合育人价值，大力推动劳动教育与研学工作，取得了显著成效。全市835所中小学校建立劳动教育实践园，覆盖率达80%。组织开展以劳动实践为主题的研学实践活动，2022年共有110.97万名中小学生参与活动，提高了师生的实践能力。2021年覃塘区被评为全国中小学劳动教育实验区，港北区郁林路小学等7所学校被评为贵港市首批中小学劳动教育示范校，桂平市逸夫小学等9所学校劳动教育活动案例被评为2021年广西中小学劳动教育活动优秀案例。</w:t>
      </w:r>
    </w:p>
    <w:p>
      <w:pPr>
        <w:spacing w:line="560" w:lineRule="exact"/>
        <w:ind w:right="31" w:rightChars="15" w:firstLine="640" w:firstLineChars="200"/>
        <w:rPr>
          <w:rFonts w:ascii="仿宋_GB2312" w:eastAsia="仿宋_GB2312"/>
          <w:sz w:val="32"/>
          <w:szCs w:val="32"/>
        </w:rPr>
      </w:pPr>
      <w:r>
        <w:rPr>
          <w:rFonts w:ascii="仿宋_GB2312" w:eastAsia="仿宋_GB2312"/>
          <w:sz w:val="32"/>
          <w:szCs w:val="32"/>
        </w:rPr>
        <w:t>2020年11月，我市印发《贵港市全面加强新时代大中小学劳动教育的实施方案》，要求全市中小学校根据自身实际，结合贵港市在自然、经济、文化等方面的条件，充分挖掘行业企业、社会团体等可利用的资源，宜工则工、宜农则农，采取多种方式开展劳动教育和劳动实践。为了丰富中小学生的劳动体验，我市各</w:t>
      </w:r>
      <w:r>
        <w:rPr>
          <w:rFonts w:hint="eastAsia" w:ascii="仿宋_GB2312" w:eastAsia="仿宋_GB2312"/>
          <w:sz w:val="32"/>
          <w:szCs w:val="32"/>
        </w:rPr>
        <w:t>行</w:t>
      </w:r>
      <w:r>
        <w:rPr>
          <w:rFonts w:ascii="仿宋_GB2312" w:eastAsia="仿宋_GB2312"/>
          <w:sz w:val="32"/>
          <w:szCs w:val="32"/>
        </w:rPr>
        <w:t xml:space="preserve">业企业和社会团体充分挖掘研学资源，积极创建各级各类中小学生研学实践教育基地。目前，我市共有13个自治区级中小学生研学（劳动）实践教育基地，有14个市级中小学生研学实践教育基地。我市丰富的自然生态，蓬勃发展的工业，如火如荼的新农村建设，这些资源为中小学生劳动教育和研学提供丰富的资源。我局在开展市本级中小学生研学实践教育基（营）评选工作的同时，还积极鼓励、指导各个单位申报自治区级乃至国家级的研学实践教育基地。目前，我市桂平市金桂田园研学实验教育基地、广西谊宾食品有限公司等自治区级中小学生研学实践教育基地，花山茶海研学基地等市级中小学生研学实践教育基地，可供中小学生开展体验劳动课程。这些为我市各学段学生开展多元化、多形式、多主题的研学旅行提供了丰富资源和有利条件，让“寓教于游、寓游于教”成了现实。   </w:t>
      </w:r>
    </w:p>
    <w:p>
      <w:pPr>
        <w:spacing w:line="560" w:lineRule="exact"/>
        <w:ind w:right="31" w:rightChars="15" w:firstLine="640" w:firstLineChars="200"/>
        <w:rPr>
          <w:rFonts w:ascii="仿宋_GB2312" w:eastAsia="仿宋_GB2312"/>
          <w:sz w:val="32"/>
          <w:szCs w:val="32"/>
        </w:rPr>
      </w:pPr>
      <w:r>
        <w:rPr>
          <w:rFonts w:ascii="仿宋_GB2312" w:eastAsia="仿宋_GB2312"/>
          <w:sz w:val="32"/>
          <w:szCs w:val="32"/>
        </w:rPr>
        <w:t xml:space="preserve">我市中小学研学旅行工作开展比较迟，不少基地研学师资不足，对如何开发研学课程不是很了解，难以开发出精品的课程。为了突破此瓶项，我们让基地临近学校的老师给基地以帮助，充分挖掘基地的资源，结合本土文化底蕴，创编富有基地特色的精品课程。目前我市各类各级基地开发出60多门研学精品课程，为学生后续进入基地研学能学有所获、学有所得提供有力的保障。同时，全市各学校结合校情，践行新课标要求，构建劳动教育课程体系，研发《手工编织—龟粽》《壮乡美食烹饪》《五色饭的蒸制》等富有本地特色的劳动教育课程，开设的特色劳动教育课程达109门，做到有备课、有教案、有教研、有反思。贵港市共27项课题获得广西教育科学“十四五”规划2022年度研学实践教育与劳动教育专项课题立项，包含19项劳动教育专项课题，其中贵港市港北区荷城小学的《“和美”小学劳动教育校本课程的构建与实施》为重点课题。 </w:t>
      </w:r>
    </w:p>
    <w:p>
      <w:pPr>
        <w:pStyle w:val="6"/>
        <w:spacing w:line="560" w:lineRule="exact"/>
        <w:ind w:right="31" w:rightChars="15" w:firstLine="640" w:firstLineChars="200"/>
        <w:rPr>
          <w:rFonts w:ascii="仿宋_GB2312" w:eastAsia="仿宋_GB2312"/>
          <w:sz w:val="32"/>
          <w:szCs w:val="32"/>
        </w:rPr>
      </w:pPr>
      <w:r>
        <w:rPr>
          <w:rFonts w:ascii="仿宋_GB2312" w:eastAsia="仿宋_GB2312"/>
          <w:sz w:val="32"/>
          <w:szCs w:val="32"/>
        </w:rPr>
        <w:t>下一步，我局将采取措施</w:t>
      </w:r>
      <w:r>
        <w:rPr>
          <w:rFonts w:hint="eastAsia" w:ascii="仿宋_GB2312" w:eastAsia="仿宋_GB2312"/>
          <w:sz w:val="32"/>
          <w:szCs w:val="32"/>
        </w:rPr>
        <w:t>加</w:t>
      </w:r>
      <w:r>
        <w:rPr>
          <w:rFonts w:ascii="仿宋_GB2312" w:eastAsia="仿宋_GB2312"/>
          <w:sz w:val="32"/>
          <w:szCs w:val="32"/>
        </w:rPr>
        <w:t>快推动中小学生到研学基地体验劳动课程。</w:t>
      </w:r>
      <w:r>
        <w:rPr>
          <w:rFonts w:ascii="仿宋_GB2312" w:eastAsia="仿宋_GB2312"/>
          <w:b/>
          <w:bCs/>
          <w:sz w:val="32"/>
          <w:szCs w:val="32"/>
        </w:rPr>
        <w:t>一是</w:t>
      </w:r>
      <w:r>
        <w:rPr>
          <w:rFonts w:ascii="仿宋_GB2312" w:eastAsia="仿宋_GB2312"/>
          <w:sz w:val="32"/>
          <w:szCs w:val="32"/>
        </w:rPr>
        <w:t>针对我市研学旅行活动相对比较滞后的现状，采用“走出去，引进来”措施，组织基地负责人、学校校长等相关研学人员到区内外研学旅行活动开展得比较成功的县市学习，同时积极鼓励各类实践基地积极邀请研学旅行专家来基地指导开展研学旅行工作。鼓励全市学生和家庭到基地开展研学和劳动实践活动，初步形成全社会普遍重视综合实践、研学旅行和劳动教育，学生主动参与研学常态化的教育氛围。</w:t>
      </w:r>
      <w:r>
        <w:rPr>
          <w:rFonts w:ascii="仿宋_GB2312" w:eastAsia="仿宋_GB2312"/>
          <w:b/>
          <w:bCs/>
          <w:sz w:val="32"/>
          <w:szCs w:val="32"/>
        </w:rPr>
        <w:t>二是</w:t>
      </w:r>
      <w:r>
        <w:rPr>
          <w:rFonts w:ascii="仿宋_GB2312" w:eastAsia="仿宋_GB2312"/>
          <w:sz w:val="32"/>
          <w:szCs w:val="32"/>
        </w:rPr>
        <w:t>鼓励学校和基地结成互助单位，每年派遣教师去指导基地完善课程设计，提高研学条件水平。同时，利用新媒体宣传优势，宣传推广全市中小学生研学实践教育基地，让广大师生、群众充分了解贵港市本土特色研学教育资源，树立本地劳动教育品牌特色。</w:t>
      </w:r>
    </w:p>
    <w:p>
      <w:pPr>
        <w:ind w:firstLine="640" w:firstLineChars="200"/>
        <w:rPr>
          <w:rFonts w:ascii="仿宋_GB2312" w:eastAsia="仿宋_GB2312"/>
          <w:sz w:val="32"/>
          <w:szCs w:val="32"/>
        </w:rPr>
      </w:pPr>
      <w:r>
        <w:rPr>
          <w:rFonts w:hint="eastAsia" w:ascii="仿宋_GB2312" w:hAnsi="仿宋_GB2312" w:eastAsia="仿宋_GB2312" w:cs="仿宋_GB2312"/>
          <w:kern w:val="0"/>
          <w:sz w:val="32"/>
          <w:szCs w:val="32"/>
          <w:lang w:bidi="ar"/>
        </w:rPr>
        <w:t xml:space="preserve"> </w:t>
      </w:r>
      <w:r>
        <w:rPr>
          <w:rFonts w:hint="eastAsia" w:ascii="仿宋_GB2312" w:eastAsia="仿宋_GB2312"/>
          <w:sz w:val="32"/>
          <w:szCs w:val="32"/>
        </w:rPr>
        <w:t>专此答复，诚挚感谢您对贵港市教育局工作的关心支持。</w:t>
      </w:r>
    </w:p>
    <w:p>
      <w:pPr>
        <w:spacing w:line="560" w:lineRule="exact"/>
        <w:ind w:firstLine="855"/>
        <w:rPr>
          <w:rFonts w:ascii="仿宋_GB2312" w:eastAsia="仿宋_GB2312"/>
          <w:sz w:val="32"/>
          <w:szCs w:val="32"/>
        </w:rPr>
      </w:pPr>
      <w:r>
        <w:rPr>
          <w:rFonts w:hint="eastAsia" w:ascii="仿宋_GB2312" w:eastAsia="仿宋_GB2312"/>
          <w:sz w:val="32"/>
          <w:szCs w:val="32"/>
        </w:rPr>
        <w:t xml:space="preserve">                              </w:t>
      </w:r>
    </w:p>
    <w:p>
      <w:pPr>
        <w:spacing w:line="560" w:lineRule="exact"/>
        <w:ind w:firstLine="6102" w:firstLineChars="1907"/>
        <w:rPr>
          <w:rFonts w:ascii="仿宋_GB2312" w:eastAsia="仿宋_GB2312"/>
          <w:sz w:val="32"/>
        </w:rPr>
      </w:pPr>
    </w:p>
    <w:p>
      <w:pPr>
        <w:spacing w:line="560" w:lineRule="exact"/>
        <w:ind w:firstLine="6102" w:firstLineChars="1907"/>
        <w:rPr>
          <w:rFonts w:ascii="仿宋_GB2312" w:eastAsia="仿宋_GB2312"/>
          <w:sz w:val="32"/>
        </w:rPr>
      </w:pPr>
    </w:p>
    <w:p>
      <w:pPr>
        <w:spacing w:line="560" w:lineRule="exact"/>
        <w:ind w:firstLine="6102" w:firstLineChars="1907"/>
        <w:rPr>
          <w:rFonts w:ascii="仿宋_GB2312" w:eastAsia="仿宋_GB2312"/>
          <w:sz w:val="32"/>
        </w:rPr>
      </w:pPr>
      <w:r>
        <w:rPr>
          <w:rFonts w:hint="eastAsia" w:ascii="仿宋_GB2312" w:eastAsia="仿宋_GB2312"/>
          <w:sz w:val="32"/>
        </w:rPr>
        <w:t>贵</w:t>
      </w:r>
      <w:r>
        <w:rPr>
          <w:rFonts w:ascii="仿宋_GB2312" w:eastAsia="仿宋_GB2312"/>
          <w:sz w:val="32"/>
        </w:rPr>
        <w:t>港</w:t>
      </w:r>
      <w:r>
        <w:rPr>
          <w:rFonts w:hint="eastAsia" w:ascii="仿宋_GB2312" w:eastAsia="仿宋_GB2312"/>
          <w:sz w:val="32"/>
        </w:rPr>
        <w:t>市</w:t>
      </w:r>
      <w:r>
        <w:rPr>
          <w:rFonts w:ascii="仿宋_GB2312" w:eastAsia="仿宋_GB2312"/>
          <w:sz w:val="32"/>
        </w:rPr>
        <w:t>教育局</w:t>
      </w:r>
    </w:p>
    <w:p>
      <w:pPr>
        <w:spacing w:line="560" w:lineRule="exact"/>
        <w:ind w:firstLine="5920" w:firstLineChars="1850"/>
        <w:rPr>
          <w:rFonts w:ascii="仿宋_GB2312" w:eastAsia="仿宋_GB2312"/>
          <w:sz w:val="32"/>
        </w:rPr>
      </w:pPr>
      <w:r>
        <w:rPr>
          <w:rFonts w:hint="eastAsia" w:ascii="仿宋_GB2312" w:eastAsia="仿宋_GB2312"/>
          <w:sz w:val="32"/>
        </w:rPr>
        <w:t>2023年7月14日</w:t>
      </w:r>
    </w:p>
    <w:p>
      <w:pPr>
        <w:spacing w:line="560" w:lineRule="exact"/>
        <w:ind w:firstLine="480" w:firstLineChars="150"/>
        <w:rPr>
          <w:rFonts w:ascii="仿宋_GB2312" w:eastAsia="仿宋_GB2312"/>
          <w:sz w:val="32"/>
        </w:rPr>
      </w:pPr>
    </w:p>
    <w:p>
      <w:pPr>
        <w:pStyle w:val="3"/>
        <w:spacing w:line="560" w:lineRule="exact"/>
        <w:ind w:firstLine="640"/>
        <w:rPr>
          <w:rFonts w:ascii="仿宋_GB2312" w:eastAsia="仿宋_GB2312"/>
          <w:sz w:val="32"/>
        </w:rPr>
      </w:pPr>
    </w:p>
    <w:p>
      <w:pPr>
        <w:spacing w:line="560" w:lineRule="exact"/>
        <w:rPr>
          <w:rFonts w:ascii="仿宋_GB2312" w:eastAsia="仿宋_GB2312"/>
          <w:sz w:val="32"/>
        </w:rPr>
      </w:pPr>
    </w:p>
    <w:p>
      <w:pPr>
        <w:pStyle w:val="3"/>
        <w:spacing w:line="560" w:lineRule="exact"/>
        <w:ind w:firstLine="640"/>
        <w:rPr>
          <w:rFonts w:ascii="仿宋_GB2312" w:eastAsia="仿宋_GB2312"/>
          <w:sz w:val="32"/>
        </w:rPr>
      </w:pPr>
    </w:p>
    <w:p>
      <w:pPr>
        <w:spacing w:line="560" w:lineRule="exact"/>
        <w:rPr>
          <w:rFonts w:ascii="仿宋_GB2312" w:eastAsia="仿宋_GB2312"/>
          <w:sz w:val="32"/>
        </w:rPr>
      </w:pPr>
    </w:p>
    <w:p>
      <w:pPr>
        <w:pStyle w:val="3"/>
        <w:spacing w:line="560" w:lineRule="exact"/>
        <w:ind w:firstLine="640"/>
        <w:rPr>
          <w:rFonts w:ascii="仿宋_GB2312" w:eastAsia="仿宋_GB2312"/>
          <w:sz w:val="32"/>
        </w:rPr>
      </w:pPr>
    </w:p>
    <w:p>
      <w:pPr>
        <w:spacing w:line="560" w:lineRule="exact"/>
        <w:rPr>
          <w:rFonts w:ascii="仿宋_GB2312" w:eastAsia="仿宋_GB2312"/>
          <w:sz w:val="32"/>
        </w:rPr>
      </w:pPr>
    </w:p>
    <w:p>
      <w:pPr>
        <w:pStyle w:val="3"/>
        <w:spacing w:line="560" w:lineRule="exact"/>
        <w:ind w:firstLine="640"/>
        <w:rPr>
          <w:rFonts w:ascii="仿宋_GB2312" w:eastAsia="仿宋_GB2312"/>
          <w:sz w:val="32"/>
        </w:rPr>
      </w:pPr>
    </w:p>
    <w:p>
      <w:pPr>
        <w:spacing w:line="560" w:lineRule="exact"/>
        <w:rPr>
          <w:rFonts w:ascii="仿宋_GB2312" w:eastAsia="仿宋_GB2312"/>
          <w:sz w:val="32"/>
        </w:rPr>
      </w:pPr>
    </w:p>
    <w:p>
      <w:pPr>
        <w:pStyle w:val="3"/>
        <w:spacing w:line="560" w:lineRule="exact"/>
        <w:ind w:firstLine="640"/>
        <w:rPr>
          <w:rFonts w:ascii="仿宋_GB2312" w:eastAsia="仿宋_GB2312"/>
          <w:sz w:val="32"/>
        </w:rPr>
      </w:pPr>
    </w:p>
    <w:p>
      <w:pPr>
        <w:spacing w:line="560" w:lineRule="exact"/>
      </w:pPr>
    </w:p>
    <w:p>
      <w:pPr>
        <w:spacing w:line="560" w:lineRule="exact"/>
        <w:ind w:firstLine="640" w:firstLineChars="200"/>
        <w:rPr>
          <w:rFonts w:ascii="仿宋_GB2312" w:eastAsia="仿宋_GB2312"/>
          <w:sz w:val="32"/>
        </w:rPr>
      </w:pPr>
      <w:r>
        <w:rPr>
          <w:rFonts w:hint="eastAsia" w:ascii="仿宋_GB2312" w:eastAsia="仿宋_GB2312"/>
          <w:sz w:val="32"/>
        </w:rPr>
        <w:t>（承办人姓名及联系电话：周松德，</w:t>
      </w:r>
      <w:r>
        <w:rPr>
          <w:rFonts w:ascii="仿宋_GB2312" w:eastAsia="仿宋_GB2312"/>
          <w:sz w:val="32"/>
        </w:rPr>
        <w:t>0775-</w:t>
      </w:r>
      <w:r>
        <w:rPr>
          <w:rFonts w:hint="eastAsia" w:ascii="仿宋_GB2312" w:eastAsia="仿宋_GB2312"/>
          <w:sz w:val="32"/>
        </w:rPr>
        <w:t>4573736）</w:t>
      </w:r>
    </w:p>
    <w:p>
      <w:pPr>
        <w:spacing w:line="560" w:lineRule="exact"/>
        <w:ind w:right="480" w:firstLine="640" w:firstLineChars="200"/>
        <w:rPr>
          <w:rFonts w:ascii="仿宋_GB2312" w:eastAsia="仿宋_GB2312"/>
          <w:sz w:val="32"/>
          <w:szCs w:val="32"/>
        </w:rPr>
      </w:pPr>
      <w:r>
        <w:rPr>
          <w:rFonts w:hint="eastAsia" w:ascii="仿宋_GB2312" w:eastAsia="仿宋_GB2312"/>
          <w:sz w:val="32"/>
          <w:szCs w:val="32"/>
        </w:rPr>
        <w:t>抄送：市政府办公室、市政协提案委员会</w:t>
      </w:r>
    </w:p>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316213"/>
      <w:docPartObj>
        <w:docPartGallery w:val="AutoText"/>
      </w:docPartObj>
    </w:sdtPr>
    <w:sdtEndPr>
      <w:rPr>
        <w:rFonts w:ascii="宋体" w:hAnsi="宋体"/>
        <w:sz w:val="28"/>
        <w:szCs w:val="28"/>
      </w:rPr>
    </w:sdtEndPr>
    <w:sdtContent>
      <w:p>
        <w:pPr>
          <w:pStyle w:val="4"/>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3113243"/>
      <w:docPartObj>
        <w:docPartGallery w:val="AutoText"/>
      </w:docPartObj>
    </w:sdtPr>
    <w:sdtEndPr>
      <w:rPr>
        <w:rFonts w:ascii="宋体" w:hAnsi="宋体"/>
        <w:sz w:val="28"/>
        <w:szCs w:val="28"/>
      </w:rPr>
    </w:sdtEndPr>
    <w:sdtContent>
      <w:p>
        <w:pPr>
          <w:pStyle w:val="4"/>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lmZjZiNjQ5YTdjMWYzNDI4MmMzYjZlNTYyZTEwNmEifQ=="/>
  </w:docVars>
  <w:rsids>
    <w:rsidRoot w:val="00D503C8"/>
    <w:rsid w:val="0001711F"/>
    <w:rsid w:val="00114723"/>
    <w:rsid w:val="003C16D9"/>
    <w:rsid w:val="003C4EA8"/>
    <w:rsid w:val="007810CF"/>
    <w:rsid w:val="008A699B"/>
    <w:rsid w:val="00944132"/>
    <w:rsid w:val="00CE4B99"/>
    <w:rsid w:val="00CF6A10"/>
    <w:rsid w:val="00D1529D"/>
    <w:rsid w:val="00D503C8"/>
    <w:rsid w:val="49C57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caption"/>
    <w:basedOn w:val="1"/>
    <w:next w:val="1"/>
    <w:semiHidden/>
    <w:unhideWhenUsed/>
    <w:qFormat/>
    <w:uiPriority w:val="35"/>
    <w:rPr>
      <w:rFonts w:eastAsia="黑体" w:asciiTheme="majorHAnsi" w:hAnsiTheme="majorHAnsi" w:cstheme="majorBidi"/>
      <w:sz w:val="20"/>
      <w:szCs w:val="20"/>
    </w:rPr>
  </w:style>
  <w:style w:type="paragraph" w:styleId="3">
    <w:name w:val="Normal Indent"/>
    <w:basedOn w:val="1"/>
    <w:next w:val="1"/>
    <w:qFormat/>
    <w:uiPriority w:val="0"/>
    <w:pPr>
      <w:ind w:firstLine="420" w:firstLineChars="200"/>
    </w:pPr>
    <w:rPr>
      <w:rFonts w:cs="Calibri"/>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customStyle="1" w:styleId="9">
    <w:name w:val="p0"/>
    <w:basedOn w:val="1"/>
    <w:qFormat/>
    <w:uiPriority w:val="0"/>
    <w:pPr>
      <w:widowControl/>
    </w:pPr>
    <w:rPr>
      <w:rFonts w:ascii="Times New Roman" w:hAnsi="Times New Roman"/>
      <w:kern w:val="0"/>
      <w:szCs w:val="21"/>
    </w:rPr>
  </w:style>
  <w:style w:type="character" w:customStyle="1" w:styleId="10">
    <w:name w:val="页眉 字符"/>
    <w:basedOn w:val="8"/>
    <w:link w:val="5"/>
    <w:uiPriority w:val="99"/>
    <w:rPr>
      <w:rFonts w:ascii="Calibri" w:hAnsi="Calibri" w:eastAsia="宋体" w:cs="Times New Roman"/>
      <w:sz w:val="18"/>
      <w:szCs w:val="18"/>
    </w:rPr>
  </w:style>
  <w:style w:type="character" w:customStyle="1" w:styleId="11">
    <w:name w:val="页脚 字符"/>
    <w:basedOn w:val="8"/>
    <w:link w:val="4"/>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269</Words>
  <Characters>1538</Characters>
  <Lines>12</Lines>
  <Paragraphs>3</Paragraphs>
  <TotalTime>32</TotalTime>
  <ScaleCrop>false</ScaleCrop>
  <LinksUpToDate>false</LinksUpToDate>
  <CharactersWithSpaces>1804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2023-07-26T08:31:00Z</dcterms:created>
  <dc:creator>qinguochang1</dc:creator>
  <cp:lastModifiedBy>WPS_1658199165</cp:lastModifiedBy>
  <dcterms:modified xsi:type="dcterms:W3CDTF">2023-08-07T14:56:34Z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0945CA2CCA434BEBAE529673E666A16E_12</vt:lpwstr>
  </property>
</Properties>
</file>